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szczególnej aktywności ustawodawcy w zakresie zmian w przepisach podatkowych zdążyliśmy się już chyba przyzwyczaić i nie zanosi się, aby w najbliższym czasie miało się coś w tym względzie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szczególnej aktywności ustawodawcy w zakresie zmian w przepisach podatkowych zdążyliśmy się już chyba przyzwyczaić i nie zanosi się, aby w najbliższym czasie miało się coś w tym względzie zmienić.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planach i zmianach w przepisach podatkowych przeczytacie na naszym blogu ⤵️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https://blog.saldeosmart.pl/przeglad-zmian-w-podatkach-na-nude-na-pewno-nie-mozemy-narzekac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szczególnej aktywności ustawodawcy w zakresie zmian w przepisach podatkowych zdążyliśmy się już chyba przyzwyczaić i nie zanosi się, aby w najbliższym czasie miało się coś w tym względzie zmienić.</w:t>
      </w:r>
    </w:p>
    <w:p>
      <w:r>
        <w:rPr>
          <w:rFonts w:ascii="calibri" w:hAnsi="calibri" w:eastAsia="calibri" w:cs="calibri"/>
          <w:sz w:val="24"/>
          <w:szCs w:val="24"/>
        </w:rPr>
        <w:t xml:space="preserve">O planach i zmianach w przepisach podatkowych przeczytacie na naszym blogu ⤵️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https://blog.saldeosmart.pl/przeglad-zmian-w-podatkach-na-nude-na-pewno-nie-mozemy-narzekac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2026-03-27T21:10:12+01:00</dcterms:created>
  <dcterms:modified xsi:type="dcterms:W3CDTF">2026-03-27T21:10:12+01:00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