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Zatory płatnicze to bolączka większości przedsiębiorców – nic tak bowiem nie nadwyręża płynności finansowej firmy, jak przeterminowane i nieuregulowane należności. Projekt nowej ustawy, która zgodnie z planem ma wejść w życie 1 czerwca 2019 roku, ma znacz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Zatory płatnicze to bolączka większości przedsiębiorców – nic tak bowiem nie nadwyręża płynności finansowej firmy, jak przeterminowane i nieuregulowane należności. Projekt nowej ustawy, która zgodnie z planem ma wejść w życie 1 czerwca 2019 roku, ma znacząco przyczynić się do rozwiązania tego problemu.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Przeczytaj więcej na ten temat na naszym blogu ⤵️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Zatory płatnicze to bolączka większości przedsiębiorców – nic tak bowiem nie nadwyręża płynności finansowej firmy, jak przeterminowane i nieuregulowane należności. Projekt nowej ustawy, która zgodnie z planem ma wejść w życie 1 czerwca 2019 roku, ma znacząco przyczynić się do rozwiązania tego problemu.</w:t>
      </w:r>
    </w:p>
    <w:p>
      <w:r>
        <w:rPr>
          <w:rFonts w:ascii="calibri" w:hAnsi="calibri" w:eastAsia="calibri" w:cs="calibri"/>
          <w:sz w:val="24"/>
          <w:szCs w:val="24"/>
        </w:rPr>
        <w:t xml:space="preserve">Przeczytaj więcej na ten temat na naszym blogu ⤵️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2026-09-14T12:16:25+02:00</dcterms:created>
  <dcterms:modified xsi:type="dcterms:W3CDTF">2026-09-14T12:16:25+02:00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