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Zatory płatnicze to bolączka większości przedsiębiorców – nic tak bowiem nie nadwyręża płynności finansowej firmy, jak przeterminowane i nieuregulowane należności. Projekt nowej ustawy, która zgodnie z planem ma wejść w życie 1 czerwca 2019 roku, ma znacz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Zatory płatnicze to bolączka większości przedsiębiorców – nic tak bowiem nie nadwyręża płynności finansowej firmy, jak przeterminowane i nieuregulowane należności. Projekt nowej ustawy, która zgodnie z planem ma wejść w życie 1 czerwca 2019 roku, ma znacząco przyczynić się do rozwiązania tego problemu.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Przeczytaj więcej na ten temat na naszym blogu ⤵️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Zatory płatnicze to bolączka większości przedsiębiorców – nic tak bowiem nie nadwyręża płynności finansowej firmy, jak przeterminowane i nieuregulowane należności. Projekt nowej ustawy, która zgodnie z planem ma wejść w życie 1 czerwca 2019 roku, ma znacząco przyczynić się do rozwiązania tego problemu.</w:t>
      </w:r>
    </w:p>
    <w:p>
      <w:r>
        <w:rPr>
          <w:rFonts w:ascii="calibri" w:hAnsi="calibri" w:eastAsia="calibri" w:cs="calibri"/>
          <w:sz w:val="24"/>
          <w:szCs w:val="24"/>
        </w:rPr>
        <w:t xml:space="preserve">Przeczytaj więcej na ten temat na naszym blogu ⤵️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2024-04-24T16:13:01+02:00</dcterms:created>
  <dcterms:modified xsi:type="dcterms:W3CDTF">2024-04-24T16:13:01+02:00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